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4A" w:rsidRPr="00FC0E9D" w:rsidRDefault="0026704A" w:rsidP="0026704A">
      <w:pPr>
        <w:pStyle w:val="En-tte"/>
      </w:pPr>
    </w:p>
    <w:p w:rsidR="00F26F5B" w:rsidRDefault="00F26F5B" w:rsidP="004B7182">
      <w:pPr>
        <w:bidi/>
        <w:rPr>
          <w:b/>
          <w:bCs/>
          <w:lang w:bidi="ar-MA"/>
        </w:rPr>
      </w:pPr>
    </w:p>
    <w:p w:rsidR="00F26F5B" w:rsidRDefault="00F26F5B" w:rsidP="004B7182">
      <w:pPr>
        <w:bidi/>
        <w:rPr>
          <w:b/>
          <w:bCs/>
          <w:lang w:bidi="ar-MA"/>
        </w:rPr>
      </w:pPr>
    </w:p>
    <w:p w:rsidR="0003057B" w:rsidRPr="003F6C9F" w:rsidRDefault="00686ABE" w:rsidP="000F0EA2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3F6C9F">
        <w:rPr>
          <w:rFonts w:hint="cs"/>
          <w:b/>
          <w:bCs/>
          <w:sz w:val="32"/>
          <w:szCs w:val="32"/>
          <w:rtl/>
          <w:lang w:bidi="ar-MA"/>
        </w:rPr>
        <w:t>بيان المجلس الإداري المنعقد بتاريخ 29 ماي 2016</w:t>
      </w:r>
    </w:p>
    <w:p w:rsidR="00686ABE" w:rsidRPr="00A37474" w:rsidRDefault="00686ABE" w:rsidP="00BE2EF2">
      <w:pPr>
        <w:bidi/>
        <w:jc w:val="lowKashida"/>
        <w:rPr>
          <w:sz w:val="32"/>
          <w:szCs w:val="32"/>
          <w:rtl/>
          <w:lang w:bidi="ar-MA"/>
        </w:rPr>
      </w:pPr>
    </w:p>
    <w:p w:rsidR="0052354E" w:rsidRPr="00A37474" w:rsidRDefault="00686ABE" w:rsidP="00BE2EF2">
      <w:pPr>
        <w:bidi/>
        <w:jc w:val="lowKashida"/>
        <w:rPr>
          <w:sz w:val="32"/>
          <w:szCs w:val="32"/>
          <w:lang w:bidi="ar-MA"/>
        </w:rPr>
      </w:pPr>
      <w:r w:rsidRPr="00A37474">
        <w:rPr>
          <w:rFonts w:hint="cs"/>
          <w:sz w:val="32"/>
          <w:szCs w:val="32"/>
          <w:rtl/>
          <w:lang w:bidi="ar-MA"/>
        </w:rPr>
        <w:t>عبر أعضاء المجلس الإداري للتعاضدية العامة لموظفي الإدارات العمومية المنعقد يوم الأحد 29 ماي 2016 بمهدية  عن قلقه</w:t>
      </w:r>
      <w:r w:rsidR="0052354E" w:rsidRPr="00A37474">
        <w:rPr>
          <w:rFonts w:hint="cs"/>
          <w:sz w:val="32"/>
          <w:szCs w:val="32"/>
          <w:rtl/>
          <w:lang w:bidi="ar-MA"/>
        </w:rPr>
        <w:t>م</w:t>
      </w:r>
      <w:r w:rsidR="00566467" w:rsidRPr="00A37474">
        <w:rPr>
          <w:rFonts w:hint="cs"/>
          <w:sz w:val="32"/>
          <w:szCs w:val="32"/>
          <w:rtl/>
          <w:lang w:bidi="ar-MA"/>
        </w:rPr>
        <w:t xml:space="preserve"> الشديد</w:t>
      </w:r>
      <w:r w:rsidR="00797108">
        <w:rPr>
          <w:rFonts w:hint="cs"/>
          <w:sz w:val="32"/>
          <w:szCs w:val="32"/>
          <w:rtl/>
          <w:lang w:bidi="ar-MA"/>
        </w:rPr>
        <w:t xml:space="preserve"> بسبب</w:t>
      </w:r>
      <w:r w:rsidRPr="00A37474">
        <w:rPr>
          <w:rFonts w:hint="cs"/>
          <w:sz w:val="32"/>
          <w:szCs w:val="32"/>
          <w:rtl/>
          <w:lang w:bidi="ar-MA"/>
        </w:rPr>
        <w:t xml:space="preserve"> التطورات الأخيرة</w:t>
      </w:r>
      <w:r w:rsidR="00566467" w:rsidRPr="00A37474">
        <w:rPr>
          <w:rFonts w:hint="cs"/>
          <w:sz w:val="32"/>
          <w:szCs w:val="32"/>
          <w:rtl/>
          <w:lang w:bidi="ar-MA"/>
        </w:rPr>
        <w:t xml:space="preserve"> التي يعيشها القطاع في</w:t>
      </w:r>
      <w:r w:rsidR="007C0095">
        <w:rPr>
          <w:sz w:val="32"/>
          <w:szCs w:val="32"/>
          <w:lang w:bidi="ar-MA"/>
        </w:rPr>
        <w:t xml:space="preserve"> </w:t>
      </w:r>
      <w:r w:rsidR="007C0095">
        <w:rPr>
          <w:sz w:val="32"/>
          <w:szCs w:val="32"/>
          <w:lang w:val="en-US" w:bidi="ar-MA"/>
        </w:rPr>
        <w:t xml:space="preserve"> </w:t>
      </w:r>
      <w:r w:rsidR="007C0095">
        <w:rPr>
          <w:rFonts w:hint="cs"/>
          <w:sz w:val="32"/>
          <w:szCs w:val="32"/>
          <w:rtl/>
          <w:lang w:val="en-US" w:bidi="ar-MA"/>
        </w:rPr>
        <w:t>هذه</w:t>
      </w:r>
      <w:r w:rsidR="00566467" w:rsidRPr="00A37474">
        <w:rPr>
          <w:rFonts w:hint="cs"/>
          <w:sz w:val="32"/>
          <w:szCs w:val="32"/>
          <w:rtl/>
          <w:lang w:bidi="ar-MA"/>
        </w:rPr>
        <w:t xml:space="preserve"> الفترة </w:t>
      </w:r>
      <w:r w:rsidR="00797108">
        <w:rPr>
          <w:rFonts w:hint="cs"/>
          <w:sz w:val="32"/>
          <w:szCs w:val="32"/>
          <w:rtl/>
          <w:lang w:bidi="ar-MA"/>
        </w:rPr>
        <w:t xml:space="preserve"> نتيجة </w:t>
      </w:r>
      <w:r w:rsidR="00566467" w:rsidRPr="00A37474">
        <w:rPr>
          <w:rFonts w:hint="cs"/>
          <w:sz w:val="32"/>
          <w:szCs w:val="32"/>
          <w:rtl/>
          <w:lang w:bidi="ar-MA"/>
        </w:rPr>
        <w:t>تجبر مدير الصندوق</w:t>
      </w:r>
      <w:r w:rsidR="00445180">
        <w:rPr>
          <w:rFonts w:hint="cs"/>
          <w:sz w:val="32"/>
          <w:szCs w:val="32"/>
          <w:rtl/>
          <w:lang w:bidi="ar-MA"/>
        </w:rPr>
        <w:t xml:space="preserve"> الوطني لمنظمات الاحتياط الاجتماعي</w:t>
      </w:r>
      <w:r w:rsidR="00566467" w:rsidRPr="00A37474">
        <w:rPr>
          <w:rFonts w:hint="cs"/>
          <w:sz w:val="32"/>
          <w:szCs w:val="32"/>
          <w:rtl/>
          <w:lang w:bidi="ar-MA"/>
        </w:rPr>
        <w:t xml:space="preserve"> وتعامله </w:t>
      </w:r>
      <w:r w:rsidR="00706C78" w:rsidRPr="00A37474">
        <w:rPr>
          <w:rFonts w:hint="cs"/>
          <w:sz w:val="32"/>
          <w:szCs w:val="32"/>
          <w:rtl/>
          <w:lang w:bidi="ar-MA"/>
        </w:rPr>
        <w:t xml:space="preserve">الانتقائي مع منخرطي </w:t>
      </w:r>
      <w:r w:rsidR="004666E9" w:rsidRPr="00A37474">
        <w:rPr>
          <w:rFonts w:hint="cs"/>
          <w:sz w:val="32"/>
          <w:szCs w:val="32"/>
          <w:rtl/>
          <w:lang w:bidi="ar-MA"/>
        </w:rPr>
        <w:t>التعاضدية العامة،</w:t>
      </w:r>
      <w:r w:rsidR="00613D11">
        <w:rPr>
          <w:rFonts w:hint="cs"/>
          <w:sz w:val="32"/>
          <w:szCs w:val="32"/>
          <w:rtl/>
          <w:lang w:bidi="ar-MA"/>
        </w:rPr>
        <w:t xml:space="preserve"> منبهين</w:t>
      </w:r>
      <w:r w:rsidR="00706C78" w:rsidRPr="00A37474">
        <w:rPr>
          <w:rFonts w:hint="cs"/>
          <w:sz w:val="32"/>
          <w:szCs w:val="32"/>
          <w:rtl/>
          <w:lang w:bidi="ar-MA"/>
        </w:rPr>
        <w:t xml:space="preserve"> إلى </w:t>
      </w:r>
      <w:r w:rsidR="0052354E" w:rsidRPr="00A37474">
        <w:rPr>
          <w:rFonts w:hint="cs"/>
          <w:sz w:val="32"/>
          <w:szCs w:val="32"/>
          <w:rtl/>
          <w:lang w:bidi="ar-MA"/>
        </w:rPr>
        <w:t>الأبعاد</w:t>
      </w:r>
      <w:r w:rsidR="00044BE2" w:rsidRPr="00A37474">
        <w:rPr>
          <w:rFonts w:hint="cs"/>
          <w:sz w:val="32"/>
          <w:szCs w:val="32"/>
          <w:rtl/>
          <w:lang w:bidi="ar-MA"/>
        </w:rPr>
        <w:t xml:space="preserve"> الخطيرة</w:t>
      </w:r>
      <w:r w:rsidR="00B20A68" w:rsidRPr="00A37474">
        <w:rPr>
          <w:rFonts w:hint="cs"/>
          <w:sz w:val="32"/>
          <w:szCs w:val="32"/>
          <w:rtl/>
          <w:lang w:bidi="ar-MA"/>
        </w:rPr>
        <w:t xml:space="preserve"> التي</w:t>
      </w:r>
      <w:r w:rsidR="00044BE2" w:rsidRPr="00A37474">
        <w:rPr>
          <w:rFonts w:hint="cs"/>
          <w:sz w:val="32"/>
          <w:szCs w:val="32"/>
          <w:rtl/>
          <w:lang w:bidi="ar-MA"/>
        </w:rPr>
        <w:t xml:space="preserve"> من الممكن أن تترتب عنها</w:t>
      </w:r>
      <w:r w:rsidR="0052354E" w:rsidRPr="00A37474">
        <w:rPr>
          <w:rFonts w:hint="cs"/>
          <w:sz w:val="32"/>
          <w:szCs w:val="32"/>
          <w:rtl/>
          <w:lang w:bidi="ar-MA"/>
        </w:rPr>
        <w:t xml:space="preserve"> </w:t>
      </w:r>
      <w:r w:rsidR="00EA3F57" w:rsidRPr="00A37474">
        <w:rPr>
          <w:rFonts w:hint="cs"/>
          <w:sz w:val="32"/>
          <w:szCs w:val="32"/>
          <w:rtl/>
          <w:lang w:bidi="ar-MA"/>
        </w:rPr>
        <w:t>خاصة</w:t>
      </w:r>
      <w:r w:rsidR="00F734FD" w:rsidRPr="00A37474">
        <w:rPr>
          <w:rFonts w:hint="cs"/>
          <w:sz w:val="32"/>
          <w:szCs w:val="32"/>
          <w:rtl/>
          <w:lang w:bidi="ar-MA"/>
        </w:rPr>
        <w:t xml:space="preserve"> مع </w:t>
      </w:r>
      <w:r w:rsidR="00044BE2" w:rsidRPr="00A37474">
        <w:rPr>
          <w:rFonts w:hint="cs"/>
          <w:sz w:val="32"/>
          <w:szCs w:val="32"/>
          <w:rtl/>
          <w:lang w:bidi="ar-MA"/>
        </w:rPr>
        <w:t>ارتفاع مستوى ال</w:t>
      </w:r>
      <w:r w:rsidR="00617261" w:rsidRPr="00A37474">
        <w:rPr>
          <w:rFonts w:hint="cs"/>
          <w:sz w:val="32"/>
          <w:szCs w:val="32"/>
          <w:rtl/>
          <w:lang w:bidi="ar-MA"/>
        </w:rPr>
        <w:t>حُنق</w:t>
      </w:r>
      <w:r w:rsidR="00044BE2" w:rsidRPr="00A37474">
        <w:rPr>
          <w:rFonts w:hint="cs"/>
          <w:sz w:val="32"/>
          <w:szCs w:val="32"/>
          <w:rtl/>
          <w:lang w:bidi="ar-MA"/>
        </w:rPr>
        <w:t xml:space="preserve"> </w:t>
      </w:r>
      <w:r w:rsidR="00617261" w:rsidRPr="00A37474">
        <w:rPr>
          <w:rFonts w:hint="cs"/>
          <w:sz w:val="32"/>
          <w:szCs w:val="32"/>
          <w:rtl/>
          <w:lang w:bidi="ar-MA"/>
        </w:rPr>
        <w:t>والتذمر</w:t>
      </w:r>
      <w:r w:rsidR="00044BE2" w:rsidRPr="00A37474">
        <w:rPr>
          <w:rFonts w:hint="cs"/>
          <w:sz w:val="32"/>
          <w:szCs w:val="32"/>
          <w:rtl/>
          <w:lang w:bidi="ar-MA"/>
        </w:rPr>
        <w:t xml:space="preserve"> في صفوف المنخرطين والمناديب الذي</w:t>
      </w:r>
      <w:r w:rsidR="00666EB5">
        <w:rPr>
          <w:rFonts w:hint="cs"/>
          <w:sz w:val="32"/>
          <w:szCs w:val="32"/>
          <w:rtl/>
          <w:lang w:bidi="ar-MA"/>
        </w:rPr>
        <w:t>ن</w:t>
      </w:r>
      <w:r w:rsidR="00044BE2" w:rsidRPr="00A37474">
        <w:rPr>
          <w:rFonts w:hint="cs"/>
          <w:sz w:val="32"/>
          <w:szCs w:val="32"/>
          <w:rtl/>
          <w:lang w:bidi="ar-MA"/>
        </w:rPr>
        <w:t xml:space="preserve"> </w:t>
      </w:r>
      <w:r w:rsidR="00EA3F57" w:rsidRPr="00A37474">
        <w:rPr>
          <w:rFonts w:hint="cs"/>
          <w:sz w:val="32"/>
          <w:szCs w:val="32"/>
          <w:rtl/>
          <w:lang w:bidi="ar-MA"/>
        </w:rPr>
        <w:t xml:space="preserve"> </w:t>
      </w:r>
      <w:r w:rsidR="00044BE2" w:rsidRPr="00A37474">
        <w:rPr>
          <w:rFonts w:hint="cs"/>
          <w:sz w:val="32"/>
          <w:szCs w:val="32"/>
          <w:rtl/>
          <w:lang w:bidi="ar-MA"/>
        </w:rPr>
        <w:t xml:space="preserve">قاموا </w:t>
      </w:r>
      <w:r w:rsidR="00EA3F57" w:rsidRPr="00A37474">
        <w:rPr>
          <w:rFonts w:hint="cs"/>
          <w:sz w:val="32"/>
          <w:szCs w:val="32"/>
          <w:rtl/>
          <w:lang w:bidi="ar-MA"/>
        </w:rPr>
        <w:t xml:space="preserve"> </w:t>
      </w:r>
      <w:r w:rsidR="00044BE2" w:rsidRPr="00A37474">
        <w:rPr>
          <w:rFonts w:hint="cs"/>
          <w:sz w:val="32"/>
          <w:szCs w:val="32"/>
          <w:rtl/>
          <w:lang w:bidi="ar-MA"/>
        </w:rPr>
        <w:t>ب</w:t>
      </w:r>
      <w:r w:rsidR="00EA3F57" w:rsidRPr="00A37474">
        <w:rPr>
          <w:rFonts w:hint="cs"/>
          <w:sz w:val="32"/>
          <w:szCs w:val="32"/>
          <w:rtl/>
          <w:lang w:bidi="ar-MA"/>
        </w:rPr>
        <w:t xml:space="preserve">تنظيم أول وقفة وطنية </w:t>
      </w:r>
      <w:r w:rsidR="0052354E" w:rsidRPr="00A37474">
        <w:rPr>
          <w:rFonts w:hint="cs"/>
          <w:sz w:val="32"/>
          <w:szCs w:val="32"/>
          <w:rtl/>
          <w:lang w:bidi="ar-MA"/>
        </w:rPr>
        <w:t>إنذارية</w:t>
      </w:r>
      <w:r w:rsidR="00EA3F57" w:rsidRPr="00A37474">
        <w:rPr>
          <w:rFonts w:hint="cs"/>
          <w:sz w:val="32"/>
          <w:szCs w:val="32"/>
          <w:rtl/>
          <w:lang w:bidi="ar-MA"/>
        </w:rPr>
        <w:t xml:space="preserve"> يوم الجمعة 27 ماي</w:t>
      </w:r>
      <w:r w:rsidR="00FB5543">
        <w:rPr>
          <w:rFonts w:hint="cs"/>
          <w:sz w:val="32"/>
          <w:szCs w:val="32"/>
          <w:rtl/>
          <w:lang w:bidi="ar-MA"/>
        </w:rPr>
        <w:t xml:space="preserve"> 2016</w:t>
      </w:r>
      <w:r w:rsidR="00EA3F57" w:rsidRPr="00A37474">
        <w:rPr>
          <w:rFonts w:hint="cs"/>
          <w:sz w:val="32"/>
          <w:szCs w:val="32"/>
          <w:rtl/>
          <w:lang w:bidi="ar-MA"/>
        </w:rPr>
        <w:t xml:space="preserve"> أمام المقر الرئيسي للصندوق</w:t>
      </w:r>
      <w:r w:rsidR="0052354E" w:rsidRPr="00A37474">
        <w:rPr>
          <w:rFonts w:hint="cs"/>
          <w:sz w:val="32"/>
          <w:szCs w:val="32"/>
          <w:rtl/>
          <w:lang w:bidi="ar-MA"/>
        </w:rPr>
        <w:t xml:space="preserve"> بالرباط سبقها تنظيم وقفات احتجاجية جهوية </w:t>
      </w:r>
      <w:r w:rsidR="0052354E" w:rsidRPr="00A37474">
        <w:rPr>
          <w:sz w:val="32"/>
          <w:szCs w:val="32"/>
          <w:rtl/>
          <w:lang w:bidi="ar-MA"/>
        </w:rPr>
        <w:t xml:space="preserve">بكل من مدن </w:t>
      </w:r>
      <w:r w:rsidR="0052354E" w:rsidRPr="00A37474">
        <w:rPr>
          <w:rFonts w:hint="cs"/>
          <w:sz w:val="32"/>
          <w:szCs w:val="32"/>
          <w:rtl/>
          <w:lang w:bidi="ar-MA"/>
        </w:rPr>
        <w:t>طنجة وتطوان والناظور</w:t>
      </w:r>
      <w:r w:rsidR="0052354E" w:rsidRPr="00A37474">
        <w:rPr>
          <w:sz w:val="32"/>
          <w:szCs w:val="32"/>
          <w:rtl/>
          <w:lang w:bidi="ar-MA"/>
        </w:rPr>
        <w:t xml:space="preserve"> ووجدة ومراكش وفاس وأكادير ومكناس وبني </w:t>
      </w:r>
      <w:r w:rsidR="0052354E" w:rsidRPr="00A37474">
        <w:rPr>
          <w:rFonts w:hint="cs"/>
          <w:sz w:val="32"/>
          <w:szCs w:val="32"/>
          <w:rtl/>
          <w:lang w:bidi="ar-MA"/>
        </w:rPr>
        <w:t>ملال</w:t>
      </w:r>
      <w:r w:rsidR="0052354E" w:rsidRPr="00A37474">
        <w:rPr>
          <w:sz w:val="32"/>
          <w:szCs w:val="32"/>
          <w:lang w:bidi="ar-MA"/>
        </w:rPr>
        <w:t>.</w:t>
      </w:r>
    </w:p>
    <w:p w:rsidR="00257623" w:rsidRPr="00A37474" w:rsidRDefault="0052354E" w:rsidP="006C38ED">
      <w:pPr>
        <w:bidi/>
        <w:jc w:val="lowKashida"/>
        <w:rPr>
          <w:sz w:val="32"/>
          <w:szCs w:val="32"/>
          <w:rtl/>
          <w:lang w:bidi="ar-MA"/>
        </w:rPr>
      </w:pPr>
      <w:r w:rsidRPr="00A37474">
        <w:rPr>
          <w:rFonts w:hint="cs"/>
          <w:sz w:val="32"/>
          <w:szCs w:val="32"/>
          <w:rtl/>
          <w:lang w:bidi="ar-MA"/>
        </w:rPr>
        <w:t>و</w:t>
      </w:r>
      <w:r w:rsidR="00257623" w:rsidRPr="00A37474">
        <w:rPr>
          <w:rFonts w:hint="cs"/>
          <w:sz w:val="32"/>
          <w:szCs w:val="32"/>
          <w:rtl/>
          <w:lang w:bidi="ar-MA"/>
        </w:rPr>
        <w:t>نبه أعضاء المجلس الإداري الحكومة</w:t>
      </w:r>
      <w:r w:rsidRPr="00A37474">
        <w:rPr>
          <w:rFonts w:hint="cs"/>
          <w:sz w:val="32"/>
          <w:szCs w:val="32"/>
          <w:rtl/>
          <w:lang w:bidi="ar-MA"/>
        </w:rPr>
        <w:t xml:space="preserve"> إلى خطورة الوضع وال</w:t>
      </w:r>
      <w:r w:rsidR="00257623" w:rsidRPr="00A37474">
        <w:rPr>
          <w:rFonts w:hint="cs"/>
          <w:sz w:val="32"/>
          <w:szCs w:val="32"/>
          <w:rtl/>
          <w:lang w:bidi="ar-MA"/>
        </w:rPr>
        <w:t>انعكاسا</w:t>
      </w:r>
      <w:r w:rsidRPr="00A37474">
        <w:rPr>
          <w:rFonts w:hint="cs"/>
          <w:sz w:val="32"/>
          <w:szCs w:val="32"/>
          <w:rtl/>
          <w:lang w:bidi="ar-MA"/>
        </w:rPr>
        <w:t>ت الخطيرة ل</w:t>
      </w:r>
      <w:r w:rsidR="00257623" w:rsidRPr="00A37474">
        <w:rPr>
          <w:rFonts w:hint="cs"/>
          <w:sz w:val="32"/>
          <w:szCs w:val="32"/>
          <w:rtl/>
          <w:lang w:bidi="ar-MA"/>
        </w:rPr>
        <w:t xml:space="preserve">قرار مدير </w:t>
      </w:r>
      <w:r w:rsidR="00601CAF" w:rsidRPr="00A37474">
        <w:rPr>
          <w:rFonts w:hint="cs"/>
          <w:sz w:val="32"/>
          <w:szCs w:val="32"/>
          <w:rtl/>
          <w:lang w:bidi="ar-MA"/>
        </w:rPr>
        <w:t>الصندوق على</w:t>
      </w:r>
      <w:r w:rsidR="00257623" w:rsidRPr="00A37474">
        <w:rPr>
          <w:rFonts w:hint="cs"/>
          <w:sz w:val="32"/>
          <w:szCs w:val="32"/>
          <w:rtl/>
          <w:lang w:bidi="ar-MA"/>
        </w:rPr>
        <w:t xml:space="preserve"> صحة المواطن</w:t>
      </w:r>
      <w:r w:rsidR="005D1930">
        <w:rPr>
          <w:rFonts w:hint="cs"/>
          <w:sz w:val="32"/>
          <w:szCs w:val="32"/>
          <w:rtl/>
          <w:lang w:bidi="ar-MA"/>
        </w:rPr>
        <w:t>، حيث</w:t>
      </w:r>
      <w:r w:rsidR="00257623" w:rsidRPr="00A37474">
        <w:rPr>
          <w:rFonts w:hint="cs"/>
          <w:sz w:val="32"/>
          <w:szCs w:val="32"/>
          <w:rtl/>
          <w:lang w:bidi="ar-MA"/>
        </w:rPr>
        <w:t xml:space="preserve"> </w:t>
      </w:r>
      <w:r w:rsidR="005D1930">
        <w:rPr>
          <w:rFonts w:hint="cs"/>
          <w:sz w:val="32"/>
          <w:szCs w:val="32"/>
          <w:rtl/>
          <w:lang w:bidi="ar-MA"/>
        </w:rPr>
        <w:t xml:space="preserve">أصبح يضطر لأن يتحمل </w:t>
      </w:r>
      <w:bookmarkStart w:id="0" w:name="_GoBack"/>
      <w:bookmarkEnd w:id="0"/>
      <w:r w:rsidR="00257623" w:rsidRPr="00A37474">
        <w:rPr>
          <w:rFonts w:hint="cs"/>
          <w:sz w:val="32"/>
          <w:szCs w:val="32"/>
          <w:rtl/>
          <w:lang w:bidi="ar-MA"/>
        </w:rPr>
        <w:t xml:space="preserve">مصاريف جديدة من أجل الاستفادة من التغطية </w:t>
      </w:r>
      <w:r w:rsidR="009B030E" w:rsidRPr="00A37474">
        <w:rPr>
          <w:rFonts w:hint="cs"/>
          <w:sz w:val="32"/>
          <w:szCs w:val="32"/>
          <w:rtl/>
          <w:lang w:bidi="ar-MA"/>
        </w:rPr>
        <w:t>الصحية</w:t>
      </w:r>
      <w:r w:rsidR="00473400" w:rsidRPr="00A37474">
        <w:rPr>
          <w:rFonts w:hint="cs"/>
          <w:sz w:val="32"/>
          <w:szCs w:val="32"/>
          <w:rtl/>
          <w:lang w:bidi="ar-MA"/>
        </w:rPr>
        <w:t>، علاوة على انعكاسات</w:t>
      </w:r>
      <w:r w:rsidR="008F3990" w:rsidRPr="00A37474">
        <w:rPr>
          <w:rFonts w:hint="cs"/>
          <w:sz w:val="32"/>
          <w:szCs w:val="32"/>
          <w:rtl/>
          <w:lang w:bidi="ar-MA"/>
        </w:rPr>
        <w:t>ها</w:t>
      </w:r>
      <w:r w:rsidR="00473400" w:rsidRPr="00A37474">
        <w:rPr>
          <w:rFonts w:hint="cs"/>
          <w:sz w:val="32"/>
          <w:szCs w:val="32"/>
          <w:rtl/>
          <w:lang w:bidi="ar-MA"/>
        </w:rPr>
        <w:t xml:space="preserve"> على </w:t>
      </w:r>
      <w:r w:rsidR="00E3646D">
        <w:rPr>
          <w:rFonts w:hint="cs"/>
          <w:sz w:val="32"/>
          <w:szCs w:val="32"/>
          <w:rtl/>
          <w:lang w:bidi="ar-MA"/>
        </w:rPr>
        <w:t xml:space="preserve">مالية </w:t>
      </w:r>
      <w:r w:rsidR="00473400" w:rsidRPr="00A37474">
        <w:rPr>
          <w:rFonts w:hint="cs"/>
          <w:sz w:val="32"/>
          <w:szCs w:val="32"/>
          <w:rtl/>
          <w:lang w:bidi="ar-MA"/>
        </w:rPr>
        <w:t>للمؤسسة</w:t>
      </w:r>
      <w:r w:rsidR="009B030E" w:rsidRPr="00A37474">
        <w:rPr>
          <w:rFonts w:hint="cs"/>
          <w:sz w:val="32"/>
          <w:szCs w:val="32"/>
          <w:rtl/>
          <w:lang w:bidi="ar-MA"/>
        </w:rPr>
        <w:t>.</w:t>
      </w:r>
    </w:p>
    <w:p w:rsidR="004B7182" w:rsidRPr="0026704A" w:rsidRDefault="005D1930" w:rsidP="00BE2EF2">
      <w:pPr>
        <w:bidi/>
        <w:jc w:val="lowKashida"/>
        <w:rPr>
          <w:sz w:val="32"/>
          <w:szCs w:val="32"/>
          <w:rtl/>
          <w:lang w:bidi="ar-MA"/>
        </w:rPr>
      </w:pPr>
      <w:r w:rsidRPr="005D1930">
        <w:rPr>
          <w:rFonts w:hint="cs"/>
          <w:color w:val="FF0000"/>
          <w:sz w:val="32"/>
          <w:szCs w:val="32"/>
          <w:rtl/>
          <w:lang w:bidi="ar-MA"/>
        </w:rPr>
        <w:t xml:space="preserve">  </w:t>
      </w:r>
      <w:r w:rsidRPr="00B55D52">
        <w:rPr>
          <w:rFonts w:hint="cs"/>
          <w:sz w:val="32"/>
          <w:szCs w:val="32"/>
          <w:rtl/>
          <w:lang w:bidi="ar-MA"/>
        </w:rPr>
        <w:t xml:space="preserve">ودق أعضاء المجلس الإداري ناقوس الخطر على الوضع الذي أصبح يتطلب تدخلا آنيا وعاجلا لأن </w:t>
      </w:r>
      <w:r w:rsidR="001B15C0" w:rsidRPr="00B55D52">
        <w:rPr>
          <w:rFonts w:hint="cs"/>
          <w:sz w:val="32"/>
          <w:szCs w:val="32"/>
          <w:rtl/>
          <w:lang w:bidi="ar-MA"/>
        </w:rPr>
        <w:t>الأمر</w:t>
      </w:r>
      <w:r w:rsidR="001B15C0">
        <w:rPr>
          <w:sz w:val="32"/>
          <w:szCs w:val="32"/>
          <w:lang w:val="en-US" w:bidi="ar-MA"/>
        </w:rPr>
        <w:t xml:space="preserve"> </w:t>
      </w:r>
      <w:r w:rsidR="001B15C0">
        <w:rPr>
          <w:rFonts w:hint="cs"/>
          <w:sz w:val="32"/>
          <w:szCs w:val="32"/>
          <w:rtl/>
          <w:lang w:val="en-US" w:bidi="ar-MA"/>
        </w:rPr>
        <w:t>بدأ</w:t>
      </w:r>
      <w:r w:rsidRPr="00B55D52">
        <w:rPr>
          <w:rFonts w:hint="cs"/>
          <w:sz w:val="32"/>
          <w:szCs w:val="32"/>
          <w:rtl/>
          <w:lang w:bidi="ar-MA"/>
        </w:rPr>
        <w:t xml:space="preserve"> يخرج عن السيطرة</w:t>
      </w:r>
      <w:r>
        <w:rPr>
          <w:rFonts w:hint="cs"/>
          <w:sz w:val="32"/>
          <w:szCs w:val="32"/>
          <w:rtl/>
          <w:lang w:bidi="ar-MA"/>
        </w:rPr>
        <w:t>، م</w:t>
      </w:r>
      <w:r w:rsidR="00467CD4">
        <w:rPr>
          <w:rFonts w:hint="cs"/>
          <w:sz w:val="32"/>
          <w:szCs w:val="32"/>
          <w:rtl/>
          <w:lang w:val="en-US" w:bidi="ar-MA"/>
        </w:rPr>
        <w:t>عبر</w:t>
      </w:r>
      <w:r>
        <w:rPr>
          <w:rFonts w:hint="cs"/>
          <w:sz w:val="32"/>
          <w:szCs w:val="32"/>
          <w:rtl/>
          <w:lang w:val="en-US" w:bidi="ar-MA"/>
        </w:rPr>
        <w:t>ين</w:t>
      </w:r>
      <w:r w:rsidR="001B15C0">
        <w:rPr>
          <w:rFonts w:hint="cs"/>
          <w:sz w:val="32"/>
          <w:szCs w:val="32"/>
          <w:rtl/>
          <w:lang w:val="en-US" w:bidi="ar-MA"/>
        </w:rPr>
        <w:t xml:space="preserve"> في نفس الوقت</w:t>
      </w:r>
      <w:r w:rsidR="009B030E" w:rsidRPr="00A37474">
        <w:rPr>
          <w:rFonts w:hint="cs"/>
          <w:sz w:val="32"/>
          <w:szCs w:val="32"/>
          <w:rtl/>
          <w:lang w:bidi="ar-MA"/>
        </w:rPr>
        <w:t xml:space="preserve"> عن قلقهم من عدم تجاوب الحكومة</w:t>
      </w:r>
      <w:r w:rsidR="009628D7">
        <w:rPr>
          <w:rFonts w:hint="cs"/>
          <w:sz w:val="32"/>
          <w:szCs w:val="32"/>
          <w:rtl/>
          <w:lang w:bidi="ar-MA"/>
        </w:rPr>
        <w:t xml:space="preserve"> لحد هذه اللحظة</w:t>
      </w:r>
      <w:r w:rsidR="009B030E" w:rsidRPr="00A37474">
        <w:rPr>
          <w:rFonts w:hint="cs"/>
          <w:sz w:val="32"/>
          <w:szCs w:val="32"/>
          <w:rtl/>
          <w:lang w:bidi="ar-MA"/>
        </w:rPr>
        <w:t xml:space="preserve"> مع مراسلات التعاضدية العامة المختلفة المطالبة </w:t>
      </w:r>
      <w:r w:rsidR="009C1047" w:rsidRPr="00A37474">
        <w:rPr>
          <w:rFonts w:hint="cs"/>
          <w:sz w:val="32"/>
          <w:szCs w:val="32"/>
          <w:rtl/>
          <w:lang w:bidi="ar-MA"/>
        </w:rPr>
        <w:t xml:space="preserve">بالتدخل </w:t>
      </w:r>
      <w:r w:rsidR="009C1047">
        <w:rPr>
          <w:rFonts w:hint="cs"/>
          <w:sz w:val="32"/>
          <w:szCs w:val="32"/>
          <w:rtl/>
          <w:lang w:bidi="ar-MA"/>
        </w:rPr>
        <w:t>العاجل</w:t>
      </w:r>
      <w:r w:rsidR="009628D7">
        <w:rPr>
          <w:rFonts w:hint="cs"/>
          <w:sz w:val="32"/>
          <w:szCs w:val="32"/>
          <w:rtl/>
          <w:lang w:bidi="ar-MA"/>
        </w:rPr>
        <w:t xml:space="preserve"> لأن الوضع يؤثر على حياة وصحة المنخرط</w:t>
      </w:r>
      <w:r w:rsidR="009C1047">
        <w:rPr>
          <w:rFonts w:hint="cs"/>
          <w:sz w:val="32"/>
          <w:szCs w:val="32"/>
          <w:rtl/>
          <w:lang w:bidi="ar-MA"/>
        </w:rPr>
        <w:t>.</w:t>
      </w:r>
      <w:r w:rsidR="009628D7">
        <w:rPr>
          <w:rFonts w:hint="cs"/>
          <w:sz w:val="32"/>
          <w:szCs w:val="32"/>
          <w:rtl/>
          <w:lang w:bidi="ar-MA"/>
        </w:rPr>
        <w:t xml:space="preserve"> ونبهوا إلى الانعكاسات ال</w:t>
      </w:r>
      <w:r w:rsidR="004B7182">
        <w:rPr>
          <w:rFonts w:hint="cs"/>
          <w:sz w:val="32"/>
          <w:szCs w:val="32"/>
          <w:rtl/>
          <w:lang w:bidi="ar-MA"/>
        </w:rPr>
        <w:t xml:space="preserve">سلبية على مالية </w:t>
      </w:r>
      <w:r w:rsidR="009C1047">
        <w:rPr>
          <w:rFonts w:hint="cs"/>
          <w:sz w:val="32"/>
          <w:szCs w:val="32"/>
          <w:rtl/>
          <w:lang w:bidi="ar-MA"/>
        </w:rPr>
        <w:t>التعاضدية، حيث</w:t>
      </w:r>
      <w:r w:rsidR="001D774D" w:rsidRPr="00A37474">
        <w:rPr>
          <w:rFonts w:hint="cs"/>
          <w:sz w:val="32"/>
          <w:szCs w:val="32"/>
          <w:rtl/>
          <w:lang w:bidi="ar-MA"/>
        </w:rPr>
        <w:t xml:space="preserve"> وصلت الخسائر المالية التي تتكبدها التعاضدية العامة جراء القرارات الأحادية وغير القانونية لمدير الصندوق إلى</w:t>
      </w:r>
      <w:r w:rsidR="008B0D38">
        <w:rPr>
          <w:rFonts w:hint="cs"/>
          <w:sz w:val="32"/>
          <w:szCs w:val="32"/>
          <w:rtl/>
          <w:lang w:bidi="ar-MA"/>
        </w:rPr>
        <w:t xml:space="preserve"> 3 مليار و200 مليون سنتيم </w:t>
      </w:r>
      <w:r w:rsidR="005856FA">
        <w:rPr>
          <w:rFonts w:hint="cs"/>
          <w:sz w:val="32"/>
          <w:szCs w:val="32"/>
          <w:rtl/>
          <w:lang w:bidi="ar-MA"/>
        </w:rPr>
        <w:t xml:space="preserve">بسبب وقف دفع المبالغ </w:t>
      </w:r>
      <w:proofErr w:type="spellStart"/>
      <w:r w:rsidR="005856FA">
        <w:rPr>
          <w:rFonts w:hint="cs"/>
          <w:sz w:val="32"/>
          <w:szCs w:val="32"/>
          <w:rtl/>
          <w:lang w:bidi="ar-MA"/>
        </w:rPr>
        <w:t>الم</w:t>
      </w:r>
      <w:r w:rsidR="001D774D" w:rsidRPr="00A37474">
        <w:rPr>
          <w:rFonts w:hint="cs"/>
          <w:sz w:val="32"/>
          <w:szCs w:val="32"/>
          <w:rtl/>
          <w:lang w:bidi="ar-MA"/>
        </w:rPr>
        <w:t>ف</w:t>
      </w:r>
      <w:r w:rsidR="005856FA">
        <w:rPr>
          <w:rFonts w:hint="cs"/>
          <w:sz w:val="32"/>
          <w:szCs w:val="32"/>
          <w:rtl/>
          <w:lang w:bidi="ar-MA"/>
        </w:rPr>
        <w:t>وت</w:t>
      </w:r>
      <w:r w:rsidR="001D774D" w:rsidRPr="00A37474">
        <w:rPr>
          <w:rFonts w:hint="cs"/>
          <w:sz w:val="32"/>
          <w:szCs w:val="32"/>
          <w:rtl/>
          <w:lang w:bidi="ar-MA"/>
        </w:rPr>
        <w:t>رة</w:t>
      </w:r>
      <w:proofErr w:type="spellEnd"/>
      <w:r w:rsidR="001D774D" w:rsidRPr="00A37474">
        <w:rPr>
          <w:rFonts w:hint="cs"/>
          <w:sz w:val="32"/>
          <w:szCs w:val="32"/>
          <w:rtl/>
          <w:lang w:bidi="ar-MA"/>
        </w:rPr>
        <w:t xml:space="preserve"> في إطار الثالث المؤدى بحجة عدم تطبيق الفصل 44 ليمنح نفسه حقا وسلطة لا تمنحها له </w:t>
      </w:r>
      <w:r w:rsidR="001D774D" w:rsidRPr="00A37474">
        <w:rPr>
          <w:rFonts w:hint="cs"/>
          <w:sz w:val="32"/>
          <w:szCs w:val="32"/>
          <w:rtl/>
          <w:lang w:bidi="ar-MA"/>
        </w:rPr>
        <w:lastRenderedPageBreak/>
        <w:t xml:space="preserve">القوانين الجاري بها العمل، إضافة إلى </w:t>
      </w:r>
      <w:r w:rsidR="008B0D38">
        <w:rPr>
          <w:rFonts w:hint="cs"/>
          <w:sz w:val="32"/>
          <w:szCs w:val="32"/>
          <w:rtl/>
          <w:lang w:bidi="ar-MA"/>
        </w:rPr>
        <w:t xml:space="preserve">2 مليار </w:t>
      </w:r>
      <w:r w:rsidR="004B7182">
        <w:rPr>
          <w:rFonts w:hint="cs"/>
          <w:sz w:val="32"/>
          <w:szCs w:val="32"/>
          <w:rtl/>
          <w:lang w:bidi="ar-MA"/>
        </w:rPr>
        <w:t>سنتيم</w:t>
      </w:r>
      <w:r w:rsidR="001D774D" w:rsidRPr="00A37474">
        <w:rPr>
          <w:rFonts w:hint="cs"/>
          <w:sz w:val="32"/>
          <w:szCs w:val="32"/>
          <w:rtl/>
          <w:lang w:bidi="ar-MA"/>
        </w:rPr>
        <w:t xml:space="preserve"> وهي المبالغ التي لم يتمكن المنخرطون من الاستفادة منها بسبب رفضه برمجة نسب </w:t>
      </w:r>
      <w:r w:rsidR="00A94A56" w:rsidRPr="00A37474">
        <w:rPr>
          <w:rFonts w:hint="cs"/>
          <w:sz w:val="32"/>
          <w:szCs w:val="32"/>
          <w:rtl/>
          <w:lang w:bidi="ar-MA"/>
        </w:rPr>
        <w:t>التعويضات الجديدة</w:t>
      </w:r>
      <w:r w:rsidR="009C1047">
        <w:rPr>
          <w:rFonts w:hint="cs"/>
          <w:sz w:val="32"/>
          <w:szCs w:val="32"/>
          <w:rtl/>
          <w:lang w:bidi="ar-MA"/>
        </w:rPr>
        <w:t xml:space="preserve"> عن </w:t>
      </w:r>
      <w:r w:rsidR="00ED73F5">
        <w:rPr>
          <w:rFonts w:hint="cs"/>
          <w:sz w:val="32"/>
          <w:szCs w:val="32"/>
          <w:rtl/>
          <w:lang w:bidi="ar-MA"/>
        </w:rPr>
        <w:t>3200 عمل طبي</w:t>
      </w:r>
      <w:r w:rsidR="00A94A56" w:rsidRPr="00A37474">
        <w:rPr>
          <w:rFonts w:hint="cs"/>
          <w:sz w:val="32"/>
          <w:szCs w:val="32"/>
          <w:rtl/>
          <w:lang w:bidi="ar-MA"/>
        </w:rPr>
        <w:t xml:space="preserve"> فيما يخص القطاع </w:t>
      </w:r>
      <w:proofErr w:type="spellStart"/>
      <w:r w:rsidR="00A94A56" w:rsidRPr="00A37474">
        <w:rPr>
          <w:rFonts w:hint="cs"/>
          <w:sz w:val="32"/>
          <w:szCs w:val="32"/>
          <w:rtl/>
          <w:lang w:bidi="ar-MA"/>
        </w:rPr>
        <w:t>التكميلي</w:t>
      </w:r>
      <w:r w:rsidR="00AC47EB">
        <w:rPr>
          <w:rFonts w:hint="cs"/>
          <w:sz w:val="32"/>
          <w:szCs w:val="32"/>
          <w:rtl/>
          <w:lang w:bidi="ar-MA"/>
        </w:rPr>
        <w:t>.</w:t>
      </w:r>
      <w:r w:rsidR="00841F84">
        <w:rPr>
          <w:rFonts w:cs="Arial" w:hint="cs"/>
          <w:sz w:val="32"/>
          <w:szCs w:val="32"/>
          <w:rtl/>
          <w:lang w:bidi="ar-MA"/>
        </w:rPr>
        <w:t>و</w:t>
      </w:r>
      <w:proofErr w:type="spellEnd"/>
      <w:r w:rsidR="00841F84">
        <w:rPr>
          <w:rFonts w:cs="Arial" w:hint="cs"/>
          <w:sz w:val="32"/>
          <w:szCs w:val="32"/>
          <w:rtl/>
          <w:lang w:bidi="ar-MA"/>
        </w:rPr>
        <w:t xml:space="preserve"> 130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مليون</w:t>
      </w:r>
      <w:r w:rsidR="004B7182">
        <w:rPr>
          <w:rFonts w:cs="Arial" w:hint="cs"/>
          <w:sz w:val="32"/>
          <w:szCs w:val="32"/>
          <w:rtl/>
          <w:lang w:bidi="ar-MA"/>
        </w:rPr>
        <w:t xml:space="preserve"> سنتيم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خسائر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بسبب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عدم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ا</w:t>
      </w:r>
      <w:r w:rsidR="004B7182">
        <w:rPr>
          <w:rFonts w:cs="Arial" w:hint="cs"/>
          <w:sz w:val="32"/>
          <w:szCs w:val="32"/>
          <w:rtl/>
          <w:lang w:bidi="ar-MA"/>
        </w:rPr>
        <w:t>ش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تغال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A94A56" w:rsidRPr="004B7182">
        <w:rPr>
          <w:rFonts w:cs="Arial" w:hint="cs"/>
          <w:sz w:val="32"/>
          <w:szCs w:val="32"/>
          <w:rtl/>
          <w:lang w:bidi="ar-MA"/>
        </w:rPr>
        <w:t xml:space="preserve">29 </w:t>
      </w:r>
      <w:r w:rsidR="00FC2760" w:rsidRPr="004B7182">
        <w:rPr>
          <w:rFonts w:cs="Arial" w:hint="cs"/>
          <w:sz w:val="32"/>
          <w:szCs w:val="32"/>
          <w:rtl/>
          <w:lang w:bidi="ar-MA"/>
        </w:rPr>
        <w:t xml:space="preserve">مستخدما </w:t>
      </w:r>
      <w:r w:rsidR="00FC2760">
        <w:rPr>
          <w:rFonts w:cs="Arial" w:hint="cs"/>
          <w:sz w:val="32"/>
          <w:szCs w:val="32"/>
          <w:rtl/>
          <w:lang w:bidi="ar-MA"/>
        </w:rPr>
        <w:t>بالأقاليم</w:t>
      </w:r>
      <w:r w:rsidR="00B94CF3">
        <w:rPr>
          <w:rFonts w:cs="Arial" w:hint="cs"/>
          <w:sz w:val="32"/>
          <w:szCs w:val="32"/>
          <w:rtl/>
          <w:lang w:bidi="ar-MA"/>
        </w:rPr>
        <w:t xml:space="preserve"> النائية والبعيدة عن المركز </w:t>
      </w:r>
      <w:r w:rsidR="00C32334" w:rsidRPr="004B7182">
        <w:rPr>
          <w:rFonts w:cs="Arial" w:hint="cs"/>
          <w:sz w:val="32"/>
          <w:szCs w:val="32"/>
          <w:rtl/>
          <w:lang w:bidi="ar-MA"/>
        </w:rPr>
        <w:t>بعد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وقف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مدير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كنوبس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للأقنان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التي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تخولهم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معالجة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ملفات</w:t>
      </w:r>
      <w:r w:rsidR="004B7182" w:rsidRPr="004B7182">
        <w:rPr>
          <w:rFonts w:cs="Arial"/>
          <w:sz w:val="32"/>
          <w:szCs w:val="32"/>
          <w:rtl/>
          <w:lang w:bidi="ar-MA"/>
        </w:rPr>
        <w:t xml:space="preserve"> </w:t>
      </w:r>
      <w:r w:rsidR="004B7182" w:rsidRPr="004B7182">
        <w:rPr>
          <w:rFonts w:cs="Arial" w:hint="cs"/>
          <w:sz w:val="32"/>
          <w:szCs w:val="32"/>
          <w:rtl/>
          <w:lang w:bidi="ar-MA"/>
        </w:rPr>
        <w:t>مرض</w:t>
      </w:r>
      <w:r w:rsidR="004B7182">
        <w:rPr>
          <w:rFonts w:hint="cs"/>
          <w:sz w:val="32"/>
          <w:szCs w:val="32"/>
          <w:rtl/>
          <w:lang w:bidi="ar-MA"/>
        </w:rPr>
        <w:t xml:space="preserve"> المنخرطين.</w:t>
      </w:r>
      <w:r w:rsidR="00A94A56">
        <w:rPr>
          <w:sz w:val="32"/>
          <w:szCs w:val="32"/>
          <w:lang w:bidi="ar-MA"/>
        </w:rPr>
        <w:t> </w:t>
      </w:r>
      <w:r w:rsidR="00A94A56">
        <w:rPr>
          <w:sz w:val="32"/>
          <w:szCs w:val="32"/>
          <w:lang w:val="en-US" w:bidi="ar-MA"/>
        </w:rPr>
        <w:t xml:space="preserve"> </w:t>
      </w:r>
      <w:r w:rsidR="00A94A56">
        <w:rPr>
          <w:rFonts w:hint="cs"/>
          <w:sz w:val="32"/>
          <w:szCs w:val="32"/>
          <w:rtl/>
          <w:lang w:val="en-US" w:bidi="ar-MA"/>
        </w:rPr>
        <w:t xml:space="preserve">واعتبر أعضاء المجلس </w:t>
      </w:r>
      <w:r w:rsidR="001B0D4C">
        <w:rPr>
          <w:rFonts w:hint="cs"/>
          <w:sz w:val="32"/>
          <w:szCs w:val="32"/>
          <w:rtl/>
          <w:lang w:val="en-US" w:bidi="ar-MA"/>
        </w:rPr>
        <w:t xml:space="preserve">الإداري </w:t>
      </w:r>
      <w:r w:rsidR="00A94A56">
        <w:rPr>
          <w:rFonts w:hint="cs"/>
          <w:sz w:val="32"/>
          <w:szCs w:val="32"/>
          <w:rtl/>
          <w:lang w:val="en-US" w:bidi="ar-MA"/>
        </w:rPr>
        <w:t xml:space="preserve">بأن هذا القرار </w:t>
      </w:r>
      <w:r w:rsidR="00C32334">
        <w:rPr>
          <w:rFonts w:hint="cs"/>
          <w:sz w:val="32"/>
          <w:szCs w:val="32"/>
          <w:rtl/>
          <w:lang w:val="en-US" w:bidi="ar-MA"/>
        </w:rPr>
        <w:t>يعرقل مواكبة</w:t>
      </w:r>
      <w:r w:rsidR="00A94A56">
        <w:rPr>
          <w:rFonts w:hint="cs"/>
          <w:sz w:val="32"/>
          <w:szCs w:val="32"/>
          <w:rtl/>
          <w:lang w:val="en-US" w:bidi="ar-MA"/>
        </w:rPr>
        <w:t xml:space="preserve"> </w:t>
      </w:r>
      <w:r w:rsidR="00FC2760">
        <w:rPr>
          <w:rFonts w:hint="cs"/>
          <w:sz w:val="32"/>
          <w:szCs w:val="32"/>
          <w:rtl/>
          <w:lang w:val="en-US" w:bidi="ar-MA"/>
        </w:rPr>
        <w:t>التعاضدية العامة</w:t>
      </w:r>
      <w:r w:rsidR="00A00A51">
        <w:rPr>
          <w:rFonts w:hint="cs"/>
          <w:sz w:val="32"/>
          <w:szCs w:val="32"/>
          <w:rtl/>
          <w:lang w:val="en-US" w:bidi="ar-MA"/>
        </w:rPr>
        <w:t xml:space="preserve"> </w:t>
      </w:r>
      <w:r w:rsidR="00C32334">
        <w:rPr>
          <w:rFonts w:hint="cs"/>
          <w:sz w:val="32"/>
          <w:szCs w:val="32"/>
          <w:rtl/>
          <w:lang w:val="en-US" w:bidi="ar-MA"/>
        </w:rPr>
        <w:t>لمشروع</w:t>
      </w:r>
      <w:r w:rsidR="00A94A56">
        <w:rPr>
          <w:rFonts w:hint="cs"/>
          <w:sz w:val="32"/>
          <w:szCs w:val="32"/>
          <w:rtl/>
          <w:lang w:val="en-US" w:bidi="ar-MA"/>
        </w:rPr>
        <w:t xml:space="preserve"> </w:t>
      </w:r>
      <w:r w:rsidR="00C32334">
        <w:rPr>
          <w:rFonts w:hint="cs"/>
          <w:sz w:val="32"/>
          <w:szCs w:val="32"/>
          <w:rtl/>
          <w:lang w:val="en-US" w:bidi="ar-MA"/>
        </w:rPr>
        <w:t>الجهوية ويميز</w:t>
      </w:r>
      <w:r w:rsidR="00A94A56">
        <w:rPr>
          <w:rFonts w:hint="cs"/>
          <w:sz w:val="32"/>
          <w:szCs w:val="32"/>
          <w:rtl/>
          <w:lang w:val="en-US" w:bidi="ar-MA"/>
        </w:rPr>
        <w:t xml:space="preserve"> بين المنخرطين في الاستفادة على أساس انتمائهم الجغرافي.</w:t>
      </w:r>
    </w:p>
    <w:p w:rsidR="00C32334" w:rsidRDefault="00C32334" w:rsidP="00BE2EF2">
      <w:pPr>
        <w:bidi/>
        <w:jc w:val="lowKashida"/>
        <w:rPr>
          <w:sz w:val="32"/>
          <w:szCs w:val="32"/>
          <w:rtl/>
          <w:lang w:val="en-US" w:bidi="ar-MA"/>
        </w:rPr>
      </w:pPr>
      <w:r>
        <w:rPr>
          <w:rFonts w:hint="cs"/>
          <w:sz w:val="32"/>
          <w:szCs w:val="32"/>
          <w:rtl/>
          <w:lang w:val="en-US" w:bidi="ar-MA"/>
        </w:rPr>
        <w:t xml:space="preserve"> وصادق المجلس الإداري على</w:t>
      </w:r>
      <w:r w:rsidR="00E97238">
        <w:rPr>
          <w:rFonts w:hint="cs"/>
          <w:sz w:val="32"/>
          <w:szCs w:val="32"/>
          <w:rtl/>
          <w:lang w:val="en-US" w:bidi="ar-MA"/>
        </w:rPr>
        <w:t xml:space="preserve"> مشروعي</w:t>
      </w:r>
      <w:r>
        <w:rPr>
          <w:rFonts w:hint="cs"/>
          <w:sz w:val="32"/>
          <w:szCs w:val="32"/>
          <w:rtl/>
          <w:lang w:val="en-US" w:bidi="ar-MA"/>
        </w:rPr>
        <w:t xml:space="preserve"> ال</w:t>
      </w:r>
      <w:r w:rsidR="00E97238">
        <w:rPr>
          <w:rFonts w:hint="cs"/>
          <w:sz w:val="32"/>
          <w:szCs w:val="32"/>
          <w:rtl/>
          <w:lang w:val="en-US" w:bidi="ar-MA"/>
        </w:rPr>
        <w:t>تقرير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 الأدبي والمالي لسنة </w:t>
      </w:r>
      <w:r w:rsidR="00291A0A">
        <w:rPr>
          <w:sz w:val="32"/>
          <w:szCs w:val="32"/>
          <w:lang w:val="en-US" w:bidi="ar-MA"/>
        </w:rPr>
        <w:t>2015</w:t>
      </w:r>
      <w:r w:rsidR="00291A0A">
        <w:rPr>
          <w:rFonts w:hint="cs"/>
          <w:sz w:val="32"/>
          <w:szCs w:val="32"/>
          <w:rtl/>
          <w:lang w:val="en-US" w:bidi="ar-MA"/>
        </w:rPr>
        <w:t>، حيث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 نوه</w:t>
      </w:r>
      <w:r w:rsidR="00841F84">
        <w:rPr>
          <w:rFonts w:hint="cs"/>
          <w:sz w:val="32"/>
          <w:szCs w:val="32"/>
          <w:rtl/>
          <w:lang w:val="en-US" w:bidi="ar-MA"/>
        </w:rPr>
        <w:t xml:space="preserve"> أعضاء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 المجلس بتمكن التعاضدية لأول في تاريخ التعاضد المغربي من حصر حسابات السنة المالية </w:t>
      </w:r>
      <w:r w:rsidR="006B3477">
        <w:rPr>
          <w:rFonts w:hint="cs"/>
          <w:sz w:val="32"/>
          <w:szCs w:val="32"/>
          <w:rtl/>
          <w:lang w:val="en-US" w:bidi="ar-MA"/>
        </w:rPr>
        <w:t>قبل نهاية</w:t>
      </w:r>
      <w:r w:rsidR="00E97238">
        <w:rPr>
          <w:rFonts w:hint="cs"/>
          <w:sz w:val="32"/>
          <w:szCs w:val="32"/>
          <w:rtl/>
          <w:lang w:val="en-US" w:bidi="ar-MA"/>
        </w:rPr>
        <w:t xml:space="preserve"> </w:t>
      </w:r>
      <w:r w:rsidR="006B3477">
        <w:rPr>
          <w:rFonts w:hint="cs"/>
          <w:sz w:val="32"/>
          <w:szCs w:val="32"/>
          <w:rtl/>
          <w:lang w:val="en-US" w:bidi="ar-MA"/>
        </w:rPr>
        <w:t>شهر مارس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. </w:t>
      </w:r>
      <w:r w:rsidR="003F2560">
        <w:rPr>
          <w:rFonts w:hint="cs"/>
          <w:sz w:val="32"/>
          <w:szCs w:val="32"/>
          <w:rtl/>
          <w:lang w:val="en-US" w:bidi="ar-MA"/>
        </w:rPr>
        <w:t xml:space="preserve"> علاوة على 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المصادقة على توقيع عقد برنامج مع جمعية </w:t>
      </w:r>
      <w:r w:rsidR="00D85BFC">
        <w:rPr>
          <w:rFonts w:hint="cs"/>
          <w:sz w:val="32"/>
          <w:szCs w:val="32"/>
          <w:rtl/>
          <w:lang w:val="en-US" w:bidi="ar-MA"/>
        </w:rPr>
        <w:t>الأعمال الاجتماعية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 لأطر ومستخدمي ومتقاعدي التعاضدية العامة لموظفي الإدارات العمومية. واعتبر المجلس الإداري بأن دعم العنصر البشري والنهوض</w:t>
      </w:r>
      <w:r w:rsidR="006B3477">
        <w:rPr>
          <w:rFonts w:hint="cs"/>
          <w:sz w:val="32"/>
          <w:szCs w:val="32"/>
          <w:rtl/>
          <w:lang w:val="en-US" w:bidi="ar-MA"/>
        </w:rPr>
        <w:t xml:space="preserve"> به</w:t>
      </w:r>
      <w:r w:rsidR="00CE0FDD">
        <w:rPr>
          <w:rFonts w:hint="cs"/>
          <w:sz w:val="32"/>
          <w:szCs w:val="32"/>
          <w:rtl/>
          <w:lang w:val="en-US" w:bidi="ar-MA"/>
        </w:rPr>
        <w:t xml:space="preserve"> أمر أساسي لأنه المستخدم شريك مهم في تنزيل مختلف الأوراش التي سطرتها الأجهزة المسيرة.</w:t>
      </w:r>
      <w:r w:rsidR="0095570D">
        <w:rPr>
          <w:rFonts w:hint="cs"/>
          <w:sz w:val="32"/>
          <w:szCs w:val="32"/>
          <w:rtl/>
          <w:lang w:val="en-US" w:bidi="ar-MA"/>
        </w:rPr>
        <w:t xml:space="preserve"> </w:t>
      </w:r>
    </w:p>
    <w:p w:rsidR="001B7378" w:rsidRPr="00CE0FDD" w:rsidRDefault="001B7378" w:rsidP="00BE2EF2">
      <w:pPr>
        <w:bidi/>
        <w:jc w:val="lowKashida"/>
        <w:rPr>
          <w:rFonts w:hint="cs"/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val="en-US" w:bidi="ar-MA"/>
        </w:rPr>
        <w:t xml:space="preserve">وتمت المصادقة أيضا على تنظيم </w:t>
      </w:r>
      <w:r w:rsidR="0095570D">
        <w:rPr>
          <w:rFonts w:hint="cs"/>
          <w:sz w:val="32"/>
          <w:szCs w:val="32"/>
          <w:rtl/>
          <w:lang w:val="en-US" w:bidi="ar-MA"/>
        </w:rPr>
        <w:t>مناظرة وطنية</w:t>
      </w:r>
      <w:r>
        <w:rPr>
          <w:rFonts w:hint="cs"/>
          <w:sz w:val="32"/>
          <w:szCs w:val="32"/>
          <w:rtl/>
          <w:lang w:val="en-US" w:bidi="ar-MA"/>
        </w:rPr>
        <w:t xml:space="preserve"> حول موضوع الثالث المؤدى ودور التعاضد على هامش أشغال الجمع العام 68 للتعاضدية العامة.</w:t>
      </w:r>
    </w:p>
    <w:p w:rsidR="00A94A56" w:rsidRPr="004B7182" w:rsidRDefault="00A94A56" w:rsidP="00A94A56">
      <w:pPr>
        <w:bidi/>
        <w:rPr>
          <w:sz w:val="32"/>
          <w:szCs w:val="32"/>
          <w:rtl/>
          <w:lang w:bidi="ar-MA"/>
        </w:rPr>
      </w:pPr>
    </w:p>
    <w:p w:rsidR="009B030E" w:rsidRPr="0052354E" w:rsidRDefault="009B030E" w:rsidP="009B030E">
      <w:pPr>
        <w:bidi/>
        <w:rPr>
          <w:sz w:val="24"/>
          <w:szCs w:val="24"/>
          <w:lang w:bidi="ar-MA"/>
        </w:rPr>
      </w:pPr>
    </w:p>
    <w:sectPr w:rsidR="009B030E" w:rsidRPr="0052354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46" w:rsidRDefault="00056746" w:rsidP="0026704A">
      <w:pPr>
        <w:spacing w:after="0" w:line="240" w:lineRule="auto"/>
      </w:pPr>
      <w:r>
        <w:separator/>
      </w:r>
    </w:p>
  </w:endnote>
  <w:endnote w:type="continuationSeparator" w:id="0">
    <w:p w:rsidR="00056746" w:rsidRDefault="00056746" w:rsidP="002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4A" w:rsidRDefault="0026704A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C38ED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tbl>
    <w:tblPr>
      <w:bidiVisual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765"/>
      <w:gridCol w:w="2212"/>
      <w:gridCol w:w="862"/>
      <w:gridCol w:w="1945"/>
    </w:tblGrid>
    <w:tr w:rsidR="0026704A" w:rsidRPr="0026704A" w:rsidTr="00454A11">
      <w:trPr>
        <w:trHeight w:val="262"/>
        <w:jc w:val="center"/>
      </w:trPr>
      <w:tc>
        <w:tcPr>
          <w:tcW w:w="5784" w:type="dxa"/>
          <w:gridSpan w:val="4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center"/>
            <w:rPr>
              <w:rFonts w:ascii="Arial" w:eastAsia="Times New Roman" w:hAnsi="Arial" w:cs="Arial"/>
              <w:lang w:eastAsia="fr-FR"/>
            </w:rPr>
          </w:pPr>
          <w:r w:rsidRPr="0026704A">
            <w:rPr>
              <w:rFonts w:ascii="Arial" w:eastAsia="Calibri" w:hAnsi="Arial" w:cs="Arial"/>
              <w:b/>
              <w:bCs/>
              <w:color w:val="595959"/>
              <w:sz w:val="26"/>
              <w:szCs w:val="26"/>
              <w:shd w:val="clear" w:color="auto" w:fill="FFFFFF"/>
              <w:rtl/>
            </w:rPr>
            <w:t>التعاضدية العامة لموظفي الإدارات العمومية</w:t>
          </w:r>
        </w:p>
      </w:tc>
    </w:tr>
    <w:tr w:rsidR="0026704A" w:rsidRPr="0026704A" w:rsidTr="00454A11">
      <w:trPr>
        <w:trHeight w:val="262"/>
        <w:jc w:val="center"/>
      </w:trPr>
      <w:tc>
        <w:tcPr>
          <w:tcW w:w="5784" w:type="dxa"/>
          <w:gridSpan w:val="4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center"/>
            <w:rPr>
              <w:rFonts w:ascii="Calibri" w:eastAsia="Calibri" w:hAnsi="Calibri" w:cs="Arial"/>
            </w:rPr>
          </w:pPr>
          <w:r w:rsidRPr="0026704A">
            <w:rPr>
              <w:rFonts w:ascii="Arial" w:eastAsia="Times New Roman" w:hAnsi="Arial" w:cs="Arial"/>
              <w:lang w:eastAsia="fr-FR"/>
            </w:rPr>
            <w:t>29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،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شارع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ابن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ســـينا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</w:t>
          </w:r>
          <w:proofErr w:type="spellStart"/>
          <w:r w:rsidRPr="0026704A">
            <w:rPr>
              <w:rFonts w:ascii="Arial" w:eastAsia="Times New Roman" w:hAnsi="Arial" w:cs="Arial" w:hint="cs"/>
              <w:rtl/>
              <w:lang w:eastAsia="fr-FR"/>
            </w:rPr>
            <w:t>اكــدال</w:t>
          </w:r>
          <w:proofErr w:type="spellEnd"/>
          <w:r w:rsidRPr="0026704A">
            <w:rPr>
              <w:rFonts w:ascii="Arial" w:eastAsia="Times New Roman" w:hAnsi="Arial" w:cs="Arial"/>
              <w:lang w:eastAsia="fr-FR"/>
            </w:rPr>
            <w:t xml:space="preserve"> </w:t>
          </w:r>
          <w:r w:rsidRPr="0026704A">
            <w:rPr>
              <w:rFonts w:ascii="Arial" w:eastAsia="Times New Roman" w:hAnsi="Arial" w:cs="Arial" w:hint="eastAsia"/>
              <w:rtl/>
              <w:lang w:eastAsia="fr-FR"/>
            </w:rPr>
            <w:t>–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الربــاط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–</w:t>
          </w:r>
          <w:r w:rsidRPr="0026704A">
            <w:rPr>
              <w:rFonts w:ascii="Arial" w:eastAsia="Times New Roman" w:hAnsi="Arial" w:cs="Arial"/>
              <w:lang w:eastAsia="fr-FR"/>
            </w:rPr>
            <w:t xml:space="preserve">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ص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>.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ب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540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الربـاط</w:t>
          </w:r>
          <w:r w:rsidRPr="0026704A">
            <w:rPr>
              <w:rFonts w:ascii="Arial" w:eastAsia="Times New Roman" w:hAnsi="Arial" w:cs="Arial"/>
              <w:rtl/>
              <w:lang w:eastAsia="fr-FR"/>
            </w:rPr>
            <w:t xml:space="preserve"> – </w:t>
          </w:r>
          <w:r w:rsidRPr="0026704A">
            <w:rPr>
              <w:rFonts w:ascii="Arial" w:eastAsia="Times New Roman" w:hAnsi="Arial" w:cs="Arial" w:hint="cs"/>
              <w:rtl/>
              <w:lang w:eastAsia="fr-FR"/>
            </w:rPr>
            <w:t>شـالـة</w:t>
          </w:r>
        </w:p>
      </w:tc>
    </w:tr>
    <w:tr w:rsidR="0026704A" w:rsidRPr="0026704A" w:rsidTr="00454A11">
      <w:trPr>
        <w:trHeight w:val="262"/>
        <w:jc w:val="center"/>
      </w:trPr>
      <w:tc>
        <w:tcPr>
          <w:tcW w:w="765" w:type="dxa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b/>
              <w:bCs/>
              <w:rtl/>
            </w:rPr>
          </w:pPr>
          <w:r w:rsidRPr="0026704A">
            <w:rPr>
              <w:rFonts w:ascii="Calibri" w:eastAsia="Calibri" w:hAnsi="Calibri" w:cs="Arial" w:hint="cs"/>
              <w:b/>
              <w:bCs/>
              <w:rtl/>
            </w:rPr>
            <w:t>الهاتف</w:t>
          </w:r>
          <w:r w:rsidRPr="0026704A">
            <w:rPr>
              <w:rFonts w:ascii="Calibri" w:eastAsia="Calibri" w:hAnsi="Calibri" w:cs="Arial"/>
              <w:b/>
              <w:bCs/>
            </w:rPr>
            <w:t>:</w:t>
          </w:r>
        </w:p>
      </w:tc>
      <w:tc>
        <w:tcPr>
          <w:tcW w:w="2212" w:type="dxa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rtl/>
            </w:rPr>
          </w:pPr>
          <w:r w:rsidRPr="0026704A">
            <w:rPr>
              <w:rFonts w:ascii="Calibri" w:eastAsia="Calibri" w:hAnsi="Calibri" w:cs="Arial"/>
            </w:rPr>
            <w:t>+212 6 75 48 10 33</w:t>
          </w:r>
        </w:p>
      </w:tc>
      <w:tc>
        <w:tcPr>
          <w:tcW w:w="862" w:type="dxa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b/>
              <w:bCs/>
              <w:rtl/>
            </w:rPr>
          </w:pPr>
          <w:r w:rsidRPr="0026704A">
            <w:rPr>
              <w:rFonts w:ascii="Calibri" w:eastAsia="Calibri" w:hAnsi="Calibri" w:cs="Arial" w:hint="cs"/>
              <w:b/>
              <w:bCs/>
              <w:rtl/>
            </w:rPr>
            <w:t>الفاكس</w:t>
          </w:r>
          <w:r w:rsidRPr="0026704A">
            <w:rPr>
              <w:rFonts w:ascii="Calibri" w:eastAsia="Calibri" w:hAnsi="Calibri" w:cs="Arial"/>
              <w:b/>
              <w:bCs/>
            </w:rPr>
            <w:t>:</w:t>
          </w:r>
        </w:p>
      </w:tc>
      <w:tc>
        <w:tcPr>
          <w:tcW w:w="1945" w:type="dxa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rtl/>
            </w:rPr>
          </w:pPr>
          <w:r w:rsidRPr="0026704A">
            <w:rPr>
              <w:rFonts w:ascii="Calibri" w:eastAsia="Calibri" w:hAnsi="Calibri" w:cs="Arial"/>
            </w:rPr>
            <w:t>+212 5 37 77 15 43</w:t>
          </w:r>
        </w:p>
      </w:tc>
    </w:tr>
    <w:tr w:rsidR="0026704A" w:rsidRPr="0026704A" w:rsidTr="00454A11">
      <w:trPr>
        <w:trHeight w:val="262"/>
        <w:jc w:val="center"/>
      </w:trPr>
      <w:tc>
        <w:tcPr>
          <w:tcW w:w="5784" w:type="dxa"/>
          <w:gridSpan w:val="4"/>
          <w:shd w:val="clear" w:color="auto" w:fill="auto"/>
        </w:tcPr>
        <w:p w:rsidR="0026704A" w:rsidRPr="0026704A" w:rsidRDefault="0026704A" w:rsidP="0026704A">
          <w:pPr>
            <w:tabs>
              <w:tab w:val="center" w:pos="4536"/>
              <w:tab w:val="right" w:pos="9072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rtl/>
            </w:rPr>
          </w:pPr>
          <w:r w:rsidRPr="0026704A">
            <w:rPr>
              <w:rFonts w:ascii="Calibri" w:eastAsia="Calibri" w:hAnsi="Calibri" w:cs="Arial"/>
              <w:b/>
              <w:bCs/>
              <w:rtl/>
            </w:rPr>
            <w:t>مركز النداء</w:t>
          </w:r>
          <w:r w:rsidRPr="0026704A">
            <w:rPr>
              <w:rFonts w:ascii="Calibri" w:eastAsia="Calibri" w:hAnsi="Calibri" w:cs="Arial"/>
              <w:b/>
              <w:bCs/>
            </w:rPr>
            <w:t>:</w:t>
          </w:r>
          <w:r w:rsidRPr="0026704A">
            <w:rPr>
              <w:rFonts w:ascii="Calibri" w:eastAsia="Calibri" w:hAnsi="Calibri" w:cs="Arial" w:hint="cs"/>
              <w:rtl/>
            </w:rPr>
            <w:t> </w:t>
          </w:r>
          <w:r w:rsidRPr="0026704A">
            <w:rPr>
              <w:rFonts w:ascii="Calibri" w:eastAsia="Calibri" w:hAnsi="Calibri" w:cs="Arial"/>
            </w:rPr>
            <w:t xml:space="preserve">+212 5 37 76 63 96 </w:t>
          </w:r>
        </w:p>
      </w:tc>
    </w:tr>
  </w:tbl>
  <w:p w:rsidR="0026704A" w:rsidRPr="0026704A" w:rsidRDefault="0026704A" w:rsidP="0026704A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26704A">
      <w:rPr>
        <w:rFonts w:ascii="Calibri" w:eastAsia="Calibri" w:hAnsi="Calibri" w:cs="Arial"/>
      </w:rPr>
      <w:t>www.mgpap.org.ma</w:t>
    </w:r>
  </w:p>
  <w:p w:rsidR="0026704A" w:rsidRDefault="002670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46" w:rsidRDefault="00056746" w:rsidP="0026704A">
      <w:pPr>
        <w:spacing w:after="0" w:line="240" w:lineRule="auto"/>
      </w:pPr>
      <w:r>
        <w:separator/>
      </w:r>
    </w:p>
  </w:footnote>
  <w:footnote w:type="continuationSeparator" w:id="0">
    <w:p w:rsidR="00056746" w:rsidRDefault="00056746" w:rsidP="0026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4A" w:rsidRPr="00FC0E9D" w:rsidRDefault="0026704A" w:rsidP="0026704A">
    <w:pPr>
      <w:pStyle w:val="En-tte"/>
      <w:tabs>
        <w:tab w:val="clear" w:pos="9072"/>
        <w:tab w:val="right" w:pos="8222"/>
      </w:tabs>
      <w:ind w:right="509"/>
    </w:pPr>
    <w:r w:rsidRPr="002E07DE">
      <w:rPr>
        <w:noProof/>
        <w:lang w:eastAsia="fr-FR"/>
      </w:rPr>
      <w:drawing>
        <wp:inline distT="0" distB="0" distL="0" distR="0">
          <wp:extent cx="5396601" cy="1187365"/>
          <wp:effectExtent l="0" t="0" r="0" b="0"/>
          <wp:docPr id="2" name="Image 2" descr="D:\Documents and Settings\Administrateur\Bureau\logo types\33-aa-Arab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D:\Documents and Settings\Administrateur\Bureau\logo types\33-aa-Arab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298" cy="1196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04A" w:rsidRDefault="0026704A" w:rsidP="0026704A">
    <w:pPr>
      <w:pStyle w:val="En-tte"/>
    </w:pPr>
  </w:p>
  <w:p w:rsidR="0026704A" w:rsidRDefault="002670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BE"/>
    <w:rsid w:val="00017D40"/>
    <w:rsid w:val="0003057B"/>
    <w:rsid w:val="00044BE2"/>
    <w:rsid w:val="00056746"/>
    <w:rsid w:val="000F0EA2"/>
    <w:rsid w:val="0011484B"/>
    <w:rsid w:val="00120921"/>
    <w:rsid w:val="001B0D4C"/>
    <w:rsid w:val="001B15C0"/>
    <w:rsid w:val="001B7378"/>
    <w:rsid w:val="001D774D"/>
    <w:rsid w:val="00257623"/>
    <w:rsid w:val="0026704A"/>
    <w:rsid w:val="00291A0A"/>
    <w:rsid w:val="00393B48"/>
    <w:rsid w:val="003F2560"/>
    <w:rsid w:val="003F6C9F"/>
    <w:rsid w:val="00436AC7"/>
    <w:rsid w:val="00445180"/>
    <w:rsid w:val="004666E9"/>
    <w:rsid w:val="00467CD4"/>
    <w:rsid w:val="00473400"/>
    <w:rsid w:val="004B7182"/>
    <w:rsid w:val="0052354E"/>
    <w:rsid w:val="005306A3"/>
    <w:rsid w:val="00566467"/>
    <w:rsid w:val="005856FA"/>
    <w:rsid w:val="00587B15"/>
    <w:rsid w:val="005D1930"/>
    <w:rsid w:val="005F4A48"/>
    <w:rsid w:val="00601CAF"/>
    <w:rsid w:val="00613D11"/>
    <w:rsid w:val="00617261"/>
    <w:rsid w:val="00666EB5"/>
    <w:rsid w:val="00686ABE"/>
    <w:rsid w:val="006B3477"/>
    <w:rsid w:val="006C38ED"/>
    <w:rsid w:val="00706C78"/>
    <w:rsid w:val="00752A05"/>
    <w:rsid w:val="00797108"/>
    <w:rsid w:val="007C0095"/>
    <w:rsid w:val="00841F84"/>
    <w:rsid w:val="008B0D38"/>
    <w:rsid w:val="008B6567"/>
    <w:rsid w:val="008F3990"/>
    <w:rsid w:val="0095570D"/>
    <w:rsid w:val="009628D7"/>
    <w:rsid w:val="00982EB7"/>
    <w:rsid w:val="00994FA0"/>
    <w:rsid w:val="009B030E"/>
    <w:rsid w:val="009C1047"/>
    <w:rsid w:val="00A00A51"/>
    <w:rsid w:val="00A37474"/>
    <w:rsid w:val="00A94A56"/>
    <w:rsid w:val="00AC47EB"/>
    <w:rsid w:val="00B20A68"/>
    <w:rsid w:val="00B55D52"/>
    <w:rsid w:val="00B570CC"/>
    <w:rsid w:val="00B94CF3"/>
    <w:rsid w:val="00BE2EF2"/>
    <w:rsid w:val="00C32334"/>
    <w:rsid w:val="00C32BA1"/>
    <w:rsid w:val="00C5481F"/>
    <w:rsid w:val="00CE0FDD"/>
    <w:rsid w:val="00D85BFC"/>
    <w:rsid w:val="00E3646D"/>
    <w:rsid w:val="00E64F5B"/>
    <w:rsid w:val="00E91B58"/>
    <w:rsid w:val="00E97238"/>
    <w:rsid w:val="00EA3F57"/>
    <w:rsid w:val="00EC0472"/>
    <w:rsid w:val="00ED73F5"/>
    <w:rsid w:val="00F26F5B"/>
    <w:rsid w:val="00F734FD"/>
    <w:rsid w:val="00FB5543"/>
    <w:rsid w:val="00FC2760"/>
    <w:rsid w:val="00FC2BAB"/>
    <w:rsid w:val="00F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B56FB3-948C-4637-A4B0-B363BE8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704A"/>
    <w:pPr>
      <w:tabs>
        <w:tab w:val="center" w:pos="4536"/>
        <w:tab w:val="right" w:pos="9072"/>
      </w:tabs>
      <w:spacing w:after="0" w:line="240" w:lineRule="auto"/>
      <w:jc w:val="center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26704A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670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</dc:creator>
  <cp:keywords/>
  <dc:description/>
  <cp:lastModifiedBy>Sanae</cp:lastModifiedBy>
  <cp:revision>89</cp:revision>
  <dcterms:created xsi:type="dcterms:W3CDTF">2016-05-29T11:02:00Z</dcterms:created>
  <dcterms:modified xsi:type="dcterms:W3CDTF">2016-05-29T22:04:00Z</dcterms:modified>
</cp:coreProperties>
</file>